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jc w:val="center"/>
        <w:rPr/>
      </w:pPr>
      <w:bookmarkStart w:colFirst="0" w:colLast="0" w:name="_kb0i943zust" w:id="0"/>
      <w:bookmarkEnd w:id="0"/>
      <w:r w:rsidDel="00000000" w:rsidR="00000000" w:rsidRPr="00000000">
        <w:rPr>
          <w:rtl w:val="0"/>
        </w:rPr>
        <w:t xml:space="preserve">Integration Partner Due Diligence Questionnaire - Transactional API</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r>
    </w:p>
    <w:tbl>
      <w:tblPr>
        <w:tblStyle w:val="Table1"/>
        <w:tblW w:w="90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430"/>
        <w:gridCol w:w="6570"/>
        <w:tblGridChange w:id="0">
          <w:tblGrid>
            <w:gridCol w:w="2430"/>
            <w:gridCol w:w="6570"/>
          </w:tblGrid>
        </w:tblGridChange>
      </w:tblGrid>
      <w:tr>
        <w:trPr>
          <w:cantSplit w:val="0"/>
          <w:tblHeader w:val="0"/>
        </w:trPr>
        <w:tc>
          <w:tcPr>
            <w:shd w:fill="f3f3f3" w:val="clear"/>
            <w:tcMar>
              <w:top w:w="100.0" w:type="dxa"/>
              <w:left w:w="100.0" w:type="dxa"/>
              <w:bottom w:w="100.0" w:type="dxa"/>
              <w:right w:w="100.0" w:type="dxa"/>
            </w:tcMar>
            <w:vAlign w:val="top"/>
          </w:tcPr>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Completed by</w:t>
            </w:r>
          </w:p>
        </w:tc>
        <w:tc>
          <w:tcPr>
            <w:shd w:fill="auto" w:val="clear"/>
            <w:tcMar>
              <w:top w:w="100.0" w:type="dxa"/>
              <w:left w:w="100.0" w:type="dxa"/>
              <w:bottom w:w="100.0" w:type="dxa"/>
              <w:right w:w="100.0" w:type="dxa"/>
            </w:tcMar>
            <w:vAlign w:val="top"/>
          </w:tcPr>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f3f3f3" w:val="clear"/>
            <w:tcMar>
              <w:top w:w="100.0" w:type="dxa"/>
              <w:left w:w="100.0" w:type="dxa"/>
              <w:bottom w:w="100.0" w:type="dxa"/>
              <w:right w:w="100.0" w:type="dxa"/>
            </w:tcMar>
            <w:vAlign w:val="top"/>
          </w:tcPr>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Date completed</w:t>
            </w:r>
          </w:p>
        </w:tc>
        <w:tc>
          <w:tcPr>
            <w:shd w:fill="auto" w:val="clear"/>
            <w:tcMar>
              <w:top w:w="100.0" w:type="dxa"/>
              <w:left w:w="100.0" w:type="dxa"/>
              <w:bottom w:w="100.0" w:type="dxa"/>
              <w:right w:w="100.0" w:type="dxa"/>
            </w:tcMar>
            <w:vAlign w:val="top"/>
          </w:tcPr>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bl>
    <w:p w:rsidR="00000000" w:rsidDel="00000000" w:rsidP="00000000" w:rsidRDefault="00000000" w:rsidRPr="00000000" w14:paraId="00000008">
      <w:pPr>
        <w:pStyle w:val="Heading2"/>
        <w:rPr/>
      </w:pPr>
      <w:bookmarkStart w:colFirst="0" w:colLast="0" w:name="_wdxw25k7wi88" w:id="1"/>
      <w:bookmarkEnd w:id="1"/>
      <w:r w:rsidDel="00000000" w:rsidR="00000000" w:rsidRPr="00000000">
        <w:rPr>
          <w:rtl w:val="0"/>
        </w:rPr>
        <w:t xml:space="preserve">Instructions</w:t>
      </w:r>
    </w:p>
    <w:p w:rsidR="00000000" w:rsidDel="00000000" w:rsidP="00000000" w:rsidRDefault="00000000" w:rsidRPr="00000000" w14:paraId="00000009">
      <w:pPr>
        <w:rPr/>
      </w:pPr>
      <w:r w:rsidDel="00000000" w:rsidR="00000000" w:rsidRPr="00000000">
        <w:rPr>
          <w:rtl w:val="0"/>
        </w:rPr>
        <w:t xml:space="preserve">This Due Diligence Questionnaire (DDQ) must be completed in full by all organisations seeking to consume data via our Transactional API.</w:t>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pPr>
      <w:r w:rsidDel="00000000" w:rsidR="00000000" w:rsidRPr="00000000">
        <w:rPr>
          <w:rtl w:val="0"/>
        </w:rPr>
        <w:t xml:space="preserve">All responses are subject to review by Medicus Health. Approval is not guaranteed and may be withdrawn at any time if obligations are not maintained.</w:t>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b w:val="1"/>
          <w:bCs w:val="1"/>
        </w:rPr>
      </w:pPr>
      <w:r w:rsidDel="00000000" w:rsidR="00000000" w:rsidRPr="00000000">
        <w:rPr>
          <w:b w:val="1"/>
          <w:bCs w:val="1"/>
          <w:rtl w:val="0"/>
        </w:rPr>
        <w:t xml:space="preserve">Supported use cases for our Transactional API:</w:t>
      </w:r>
    </w:p>
    <w:p w:rsidR="00000000" w:rsidDel="00000000" w:rsidP="00000000" w:rsidRDefault="00000000" w:rsidRPr="00000000" w14:paraId="0000000E">
      <w:pPr>
        <w:numPr>
          <w:ilvl w:val="0"/>
          <w:numId w:val="2"/>
        </w:numPr>
        <w:ind w:left="720" w:hanging="360"/>
      </w:pPr>
      <w:r w:rsidDel="00000000" w:rsidR="00000000" w:rsidRPr="00000000">
        <w:rPr>
          <w:rtl w:val="0"/>
        </w:rPr>
        <w:t xml:space="preserve">Direct care delivery by third-party organisations</w:t>
      </w:r>
    </w:p>
    <w:p w:rsidR="00000000" w:rsidDel="00000000" w:rsidP="00000000" w:rsidRDefault="00000000" w:rsidRPr="00000000" w14:paraId="0000000F">
      <w:pPr>
        <w:rPr>
          <w:b w:val="1"/>
          <w:bCs w:val="1"/>
        </w:rPr>
      </w:pPr>
      <w:r w:rsidDel="00000000" w:rsidR="00000000" w:rsidRPr="00000000">
        <w:rPr>
          <w:rtl w:val="0"/>
        </w:rPr>
      </w:r>
    </w:p>
    <w:p w:rsidR="00000000" w:rsidDel="00000000" w:rsidP="00000000" w:rsidRDefault="00000000" w:rsidRPr="00000000" w14:paraId="00000010">
      <w:pPr>
        <w:rPr>
          <w:b w:val="1"/>
          <w:bCs w:val="1"/>
        </w:rPr>
      </w:pPr>
      <w:r w:rsidDel="00000000" w:rsidR="00000000" w:rsidRPr="00000000">
        <w:rPr>
          <w:b w:val="1"/>
          <w:bCs w:val="1"/>
          <w:rtl w:val="0"/>
        </w:rPr>
        <w:t xml:space="preserve">Our Transactional API must NOT be used for:</w:t>
      </w:r>
    </w:p>
    <w:p w:rsidR="00000000" w:rsidDel="00000000" w:rsidP="00000000" w:rsidRDefault="00000000" w:rsidRPr="00000000" w14:paraId="00000011">
      <w:pPr>
        <w:numPr>
          <w:ilvl w:val="0"/>
          <w:numId w:val="1"/>
        </w:numPr>
        <w:ind w:left="720" w:hanging="360"/>
      </w:pPr>
      <w:r w:rsidDel="00000000" w:rsidR="00000000" w:rsidRPr="00000000">
        <w:rPr>
          <w:rtl w:val="0"/>
        </w:rPr>
        <w:t xml:space="preserve">Bulk data extracts</w:t>
      </w:r>
      <w:r w:rsidDel="00000000" w:rsidR="00000000" w:rsidRPr="00000000">
        <w:rPr>
          <w:rtl w:val="0"/>
        </w:rPr>
        <w:t xml:space="preserve"> (use IM1 Bulk instead)</w:t>
      </w:r>
    </w:p>
    <w:p w:rsidR="00000000" w:rsidDel="00000000" w:rsidP="00000000" w:rsidRDefault="00000000" w:rsidRPr="00000000" w14:paraId="00000012">
      <w:pPr>
        <w:numPr>
          <w:ilvl w:val="0"/>
          <w:numId w:val="1"/>
        </w:numPr>
        <w:ind w:left="720" w:hanging="360"/>
      </w:pPr>
      <w:r w:rsidDel="00000000" w:rsidR="00000000" w:rsidRPr="00000000">
        <w:rPr>
          <w:rtl w:val="0"/>
        </w:rPr>
        <w:t xml:space="preserve">Patient-facing services where patients view their own records (use IM1 PFS instead)</w:t>
      </w:r>
    </w:p>
    <w:p w:rsidR="00000000" w:rsidDel="00000000" w:rsidP="00000000" w:rsidRDefault="00000000" w:rsidRPr="00000000" w14:paraId="00000013">
      <w:pPr>
        <w:numPr>
          <w:ilvl w:val="0"/>
          <w:numId w:val="1"/>
        </w:numPr>
        <w:ind w:left="720" w:hanging="360"/>
      </w:pPr>
      <w:r w:rsidDel="00000000" w:rsidR="00000000" w:rsidRPr="00000000">
        <w:rPr>
          <w:rtl w:val="0"/>
        </w:rPr>
        <w:t xml:space="preserve">Data migration purposes (use the NHS Data Migration standard)</w:t>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rPr/>
      </w:pPr>
      <w:r w:rsidDel="00000000" w:rsidR="00000000" w:rsidRPr="00000000">
        <w:rPr>
          <w:rtl w:val="0"/>
        </w:rPr>
        <w:t xml:space="preserve">Please complete all sections. Where a question is not applicable, enter 'N/A' and provide a brief explanation.</w:t>
      </w:r>
    </w:p>
    <w:p w:rsidR="00000000" w:rsidDel="00000000" w:rsidP="00000000" w:rsidRDefault="00000000" w:rsidRPr="00000000" w14:paraId="00000016">
      <w:pPr>
        <w:pStyle w:val="Heading2"/>
        <w:rPr/>
      </w:pPr>
      <w:bookmarkStart w:colFirst="0" w:colLast="0" w:name="_jexkavryyuq8" w:id="2"/>
      <w:bookmarkEnd w:id="2"/>
      <w:r w:rsidDel="00000000" w:rsidR="00000000" w:rsidRPr="00000000">
        <w:rPr>
          <w:rtl w:val="0"/>
        </w:rPr>
        <w:t xml:space="preserve">Section 1: Organisation Details</w:t>
      </w:r>
    </w:p>
    <w:p w:rsidR="00000000" w:rsidDel="00000000" w:rsidP="00000000" w:rsidRDefault="00000000" w:rsidRPr="00000000" w14:paraId="00000017">
      <w:pPr>
        <w:rPr/>
      </w:pPr>
      <w:r w:rsidDel="00000000" w:rsidR="00000000" w:rsidRPr="00000000">
        <w:rPr>
          <w:rtl w:val="0"/>
        </w:rPr>
      </w:r>
    </w:p>
    <w:tbl>
      <w:tblPr>
        <w:tblStyle w:val="Table2"/>
        <w:tblW w:w="90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795"/>
        <w:gridCol w:w="5205"/>
        <w:tblGridChange w:id="0">
          <w:tblGrid>
            <w:gridCol w:w="3795"/>
            <w:gridCol w:w="5205"/>
          </w:tblGrid>
        </w:tblGridChange>
      </w:tblGrid>
      <w:tr>
        <w:trPr>
          <w:cantSplit w:val="0"/>
          <w:tblHeader w:val="0"/>
        </w:trPr>
        <w:tc>
          <w:tcPr>
            <w:shd w:fill="f3f3f3" w:val="clear"/>
            <w:tcMar>
              <w:top w:w="100.0" w:type="dxa"/>
              <w:left w:w="100.0" w:type="dxa"/>
              <w:bottom w:w="100.0" w:type="dxa"/>
              <w:right w:w="100.0" w:type="dxa"/>
            </w:tcMar>
            <w:vAlign w:val="top"/>
          </w:tcPr>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Legal name of organisation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f3f3f3" w:val="clear"/>
            <w:tcMar>
              <w:top w:w="100.0" w:type="dxa"/>
              <w:left w:w="100.0" w:type="dxa"/>
              <w:bottom w:w="100.0" w:type="dxa"/>
              <w:right w:w="100.0" w:type="dxa"/>
            </w:tcMar>
            <w:vAlign w:val="top"/>
          </w:tcPr>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Registered company number</w:t>
            </w:r>
          </w:p>
        </w:tc>
        <w:tc>
          <w:tcPr>
            <w:shd w:fill="auto" w:val="clear"/>
            <w:tcMar>
              <w:top w:w="100.0" w:type="dxa"/>
              <w:left w:w="100.0" w:type="dxa"/>
              <w:bottom w:w="100.0" w:type="dxa"/>
              <w:right w:w="100.0" w:type="dxa"/>
            </w:tcMar>
            <w:vAlign w:val="top"/>
          </w:tcPr>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f3f3f3" w:val="clear"/>
            <w:tcMar>
              <w:top w:w="100.0" w:type="dxa"/>
              <w:left w:w="100.0" w:type="dxa"/>
              <w:bottom w:w="100.0" w:type="dxa"/>
              <w:right w:w="100.0" w:type="dxa"/>
            </w:tcMar>
            <w:vAlign w:val="top"/>
          </w:tcPr>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Registered address</w:t>
            </w:r>
          </w:p>
        </w:tc>
        <w:tc>
          <w:tcPr>
            <w:shd w:fill="auto" w:val="clear"/>
            <w:tcMar>
              <w:top w:w="100.0" w:type="dxa"/>
              <w:left w:w="100.0" w:type="dxa"/>
              <w:bottom w:w="100.0" w:type="dxa"/>
              <w:right w:w="100.0" w:type="dxa"/>
            </w:tcMar>
            <w:vAlign w:val="top"/>
          </w:tcPr>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f3f3f3" w:val="clear"/>
            <w:tcMar>
              <w:top w:w="100.0" w:type="dxa"/>
              <w:left w:w="100.0" w:type="dxa"/>
              <w:bottom w:w="100.0" w:type="dxa"/>
              <w:right w:w="100.0" w:type="dxa"/>
            </w:tcMar>
            <w:vAlign w:val="top"/>
          </w:tcPr>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Primary contact name and role</w:t>
            </w:r>
          </w:p>
        </w:tc>
        <w:tc>
          <w:tcPr>
            <w:shd w:fill="auto" w:val="clear"/>
            <w:tcMar>
              <w:top w:w="100.0" w:type="dxa"/>
              <w:left w:w="100.0" w:type="dxa"/>
              <w:bottom w:w="100.0" w:type="dxa"/>
              <w:right w:w="100.0" w:type="dxa"/>
            </w:tcMar>
            <w:vAlign w:val="top"/>
          </w:tcPr>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f3f3f3" w:val="clear"/>
            <w:tcMar>
              <w:top w:w="100.0" w:type="dxa"/>
              <w:left w:w="100.0" w:type="dxa"/>
              <w:bottom w:w="100.0" w:type="dxa"/>
              <w:right w:w="100.0" w:type="dxa"/>
            </w:tcMar>
            <w:vAlign w:val="top"/>
          </w:tcPr>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Primary contact email address</w:t>
            </w:r>
          </w:p>
        </w:tc>
        <w:tc>
          <w:tcPr>
            <w:shd w:fill="auto" w:val="clear"/>
            <w:tcMar>
              <w:top w:w="100.0" w:type="dxa"/>
              <w:left w:w="100.0" w:type="dxa"/>
              <w:bottom w:w="100.0" w:type="dxa"/>
              <w:right w:w="100.0" w:type="dxa"/>
            </w:tcMar>
            <w:vAlign w:val="top"/>
          </w:tcPr>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f3f3f3" w:val="clear"/>
            <w:tcMar>
              <w:top w:w="100.0" w:type="dxa"/>
              <w:left w:w="100.0" w:type="dxa"/>
              <w:bottom w:w="100.0" w:type="dxa"/>
              <w:right w:w="100.0" w:type="dxa"/>
            </w:tcMar>
            <w:vAlign w:val="top"/>
          </w:tcPr>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Primary contact telephone number</w:t>
            </w:r>
          </w:p>
        </w:tc>
        <w:tc>
          <w:tcPr>
            <w:shd w:fill="auto" w:val="clear"/>
            <w:tcMar>
              <w:top w:w="100.0" w:type="dxa"/>
              <w:left w:w="100.0" w:type="dxa"/>
              <w:bottom w:w="100.0" w:type="dxa"/>
              <w:right w:w="100.0" w:type="dxa"/>
            </w:tcMar>
            <w:vAlign w:val="top"/>
          </w:tcPr>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f3f3f3" w:val="clear"/>
            <w:tcMar>
              <w:top w:w="100.0" w:type="dxa"/>
              <w:left w:w="100.0" w:type="dxa"/>
              <w:bottom w:w="100.0" w:type="dxa"/>
              <w:right w:w="100.0" w:type="dxa"/>
            </w:tcMar>
            <w:vAlign w:val="top"/>
          </w:tcPr>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Data Protection Officer (DPO) name and contact details</w:t>
            </w:r>
          </w:p>
        </w:tc>
        <w:tc>
          <w:tcPr>
            <w:shd w:fill="auto" w:val="clear"/>
            <w:tcMar>
              <w:top w:w="100.0" w:type="dxa"/>
              <w:left w:w="100.0" w:type="dxa"/>
              <w:bottom w:w="100.0" w:type="dxa"/>
              <w:right w:w="100.0" w:type="dxa"/>
            </w:tcMar>
            <w:vAlign w:val="top"/>
          </w:tcPr>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f3f3f3" w:val="clear"/>
            <w:tcMar>
              <w:top w:w="100.0" w:type="dxa"/>
              <w:left w:w="100.0" w:type="dxa"/>
              <w:bottom w:w="100.0" w:type="dxa"/>
              <w:right w:w="100.0" w:type="dxa"/>
            </w:tcMar>
            <w:vAlign w:val="top"/>
          </w:tcPr>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Clinical Safety Officer (CSO) name and contact details</w:t>
            </w:r>
          </w:p>
        </w:tc>
        <w:tc>
          <w:tcPr>
            <w:shd w:fill="auto" w:val="clear"/>
            <w:tcMar>
              <w:top w:w="100.0" w:type="dxa"/>
              <w:left w:w="100.0" w:type="dxa"/>
              <w:bottom w:w="100.0" w:type="dxa"/>
              <w:right w:w="100.0" w:type="dxa"/>
            </w:tcMar>
            <w:vAlign w:val="top"/>
          </w:tcPr>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f3f3f3" w:val="clear"/>
            <w:tcMar>
              <w:top w:w="100.0" w:type="dxa"/>
              <w:left w:w="100.0" w:type="dxa"/>
              <w:bottom w:w="100.0" w:type="dxa"/>
              <w:right w:w="100.0" w:type="dxa"/>
            </w:tcMar>
            <w:vAlign w:val="top"/>
          </w:tcPr>
          <w:p w:rsidR="00000000" w:rsidDel="00000000" w:rsidP="00000000" w:rsidRDefault="00000000" w:rsidRPr="00000000" w14:paraId="00000028">
            <w:pPr>
              <w:widowControl w:val="0"/>
              <w:spacing w:line="240" w:lineRule="auto"/>
              <w:rPr/>
            </w:pPr>
            <w:r w:rsidDel="00000000" w:rsidR="00000000" w:rsidRPr="00000000">
              <w:rPr>
                <w:rtl w:val="0"/>
              </w:rPr>
              <w:t xml:space="preserve">Organisation's ICO Registration Number</w:t>
            </w:r>
          </w:p>
        </w:tc>
        <w:tc>
          <w:tcPr>
            <w:shd w:fill="auto" w:val="clear"/>
            <w:tcMar>
              <w:top w:w="100.0" w:type="dxa"/>
              <w:left w:w="100.0" w:type="dxa"/>
              <w:bottom w:w="100.0" w:type="dxa"/>
              <w:right w:w="100.0" w:type="dxa"/>
            </w:tcMar>
            <w:vAlign w:val="top"/>
          </w:tcPr>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bl>
    <w:p w:rsidR="00000000" w:rsidDel="00000000" w:rsidP="00000000" w:rsidRDefault="00000000" w:rsidRPr="00000000" w14:paraId="0000002A">
      <w:pPr>
        <w:rPr/>
      </w:pPr>
      <w:r w:rsidDel="00000000" w:rsidR="00000000" w:rsidRPr="00000000">
        <w:rPr>
          <w:rtl w:val="0"/>
        </w:rPr>
      </w:r>
    </w:p>
    <w:p w:rsidR="00000000" w:rsidDel="00000000" w:rsidP="00000000" w:rsidRDefault="00000000" w:rsidRPr="00000000" w14:paraId="0000002B">
      <w:pPr>
        <w:pStyle w:val="Heading2"/>
        <w:rPr/>
      </w:pPr>
      <w:bookmarkStart w:colFirst="0" w:colLast="0" w:name="_um3boneuqf4y" w:id="3"/>
      <w:bookmarkEnd w:id="3"/>
      <w:r w:rsidDel="00000000" w:rsidR="00000000" w:rsidRPr="00000000">
        <w:rPr>
          <w:rtl w:val="0"/>
        </w:rPr>
        <w:t xml:space="preserve">Section 2: Intended Use</w:t>
      </w:r>
    </w:p>
    <w:p w:rsidR="00000000" w:rsidDel="00000000" w:rsidP="00000000" w:rsidRDefault="00000000" w:rsidRPr="00000000" w14:paraId="0000002C">
      <w:pPr>
        <w:rPr/>
      </w:pPr>
      <w:r w:rsidDel="00000000" w:rsidR="00000000" w:rsidRPr="00000000">
        <w:rPr>
          <w:rtl w:val="0"/>
        </w:rPr>
        <w:t xml:space="preserve">All consumers must provide a clear definition of the intended use of the API.</w:t>
      </w:r>
    </w:p>
    <w:p w:rsidR="00000000" w:rsidDel="00000000" w:rsidP="00000000" w:rsidRDefault="00000000" w:rsidRPr="00000000" w14:paraId="0000002D">
      <w:pPr>
        <w:rPr/>
      </w:pPr>
      <w:r w:rsidDel="00000000" w:rsidR="00000000" w:rsidRPr="00000000">
        <w:rPr>
          <w:rtl w:val="0"/>
        </w:rPr>
      </w:r>
    </w:p>
    <w:tbl>
      <w:tblPr>
        <w:tblStyle w:val="Table3"/>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514.5"/>
        <w:gridCol w:w="4514.5"/>
        <w:tblGridChange w:id="0">
          <w:tblGrid>
            <w:gridCol w:w="4514.5"/>
            <w:gridCol w:w="4514.5"/>
          </w:tblGrid>
        </w:tblGridChange>
      </w:tblGrid>
      <w:tr>
        <w:trPr>
          <w:cantSplit w:val="0"/>
          <w:tblHeader w:val="0"/>
        </w:trPr>
        <w:tc>
          <w:tcPr>
            <w:shd w:fill="f3f3f3" w:val="clear"/>
            <w:tcMar>
              <w:top w:w="100.0" w:type="dxa"/>
              <w:left w:w="100.0" w:type="dxa"/>
              <w:bottom w:w="100.0" w:type="dxa"/>
              <w:right w:w="100.0" w:type="dxa"/>
            </w:tcMar>
            <w:vAlign w:val="top"/>
          </w:tcPr>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Describe the intended use of the integration</w:t>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1"/>
                <w:iCs w:val="1"/>
                <w:sz w:val="20"/>
                <w:szCs w:val="20"/>
              </w:rPr>
            </w:pPr>
            <w:r w:rsidDel="00000000" w:rsidR="00000000" w:rsidRPr="00000000">
              <w:rPr>
                <w:i w:val="1"/>
                <w:iCs w:val="1"/>
                <w:sz w:val="20"/>
                <w:szCs w:val="20"/>
                <w:rtl w:val="0"/>
              </w:rPr>
              <w:t xml:space="preserve">Include the specific purpose, the population(s) affected, and the clinical or operational need</w:t>
            </w:r>
          </w:p>
        </w:tc>
        <w:tc>
          <w:tcPr>
            <w:shd w:fill="auto" w:val="clear"/>
            <w:tcMar>
              <w:top w:w="100.0" w:type="dxa"/>
              <w:left w:w="100.0" w:type="dxa"/>
              <w:bottom w:w="100.0" w:type="dxa"/>
              <w:right w:w="100.0" w:type="dxa"/>
            </w:tcMar>
            <w:vAlign w:val="top"/>
          </w:tcPr>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bl>
    <w:p w:rsidR="00000000" w:rsidDel="00000000" w:rsidP="00000000" w:rsidRDefault="00000000" w:rsidRPr="00000000" w14:paraId="00000032">
      <w:pPr>
        <w:pageBreakBefore w:val="0"/>
        <w:rPr/>
      </w:pPr>
      <w:r w:rsidDel="00000000" w:rsidR="00000000" w:rsidRPr="00000000">
        <w:rPr>
          <w:rtl w:val="0"/>
        </w:rPr>
      </w:r>
    </w:p>
    <w:p w:rsidR="00000000" w:rsidDel="00000000" w:rsidP="00000000" w:rsidRDefault="00000000" w:rsidRPr="00000000" w14:paraId="00000033">
      <w:pPr>
        <w:pStyle w:val="Heading2"/>
        <w:rPr/>
      </w:pPr>
      <w:bookmarkStart w:colFirst="0" w:colLast="0" w:name="_wn3giqsylkic" w:id="4"/>
      <w:bookmarkEnd w:id="4"/>
      <w:r w:rsidDel="00000000" w:rsidR="00000000" w:rsidRPr="00000000">
        <w:rPr>
          <w:rtl w:val="0"/>
        </w:rPr>
        <w:t xml:space="preserve">Section 3: API Endpoints</w:t>
      </w:r>
    </w:p>
    <w:p w:rsidR="00000000" w:rsidDel="00000000" w:rsidP="00000000" w:rsidRDefault="00000000" w:rsidRPr="00000000" w14:paraId="00000034">
      <w:pPr>
        <w:rPr/>
      </w:pPr>
      <w:r w:rsidDel="00000000" w:rsidR="00000000" w:rsidRPr="00000000">
        <w:rPr>
          <w:rtl w:val="0"/>
        </w:rPr>
        <w:t xml:space="preserve">Consumers must only request the API endpoints required for the defined use case.</w:t>
      </w:r>
    </w:p>
    <w:p w:rsidR="00000000" w:rsidDel="00000000" w:rsidP="00000000" w:rsidRDefault="00000000" w:rsidRPr="00000000" w14:paraId="00000035">
      <w:pPr>
        <w:rPr/>
      </w:pPr>
      <w:r w:rsidDel="00000000" w:rsidR="00000000" w:rsidRPr="00000000">
        <w:rPr>
          <w:rtl w:val="0"/>
        </w:rPr>
      </w:r>
    </w:p>
    <w:tbl>
      <w:tblPr>
        <w:tblStyle w:val="Table4"/>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514.5"/>
        <w:gridCol w:w="4514.5"/>
        <w:tblGridChange w:id="0">
          <w:tblGrid>
            <w:gridCol w:w="4514.5"/>
            <w:gridCol w:w="4514.5"/>
          </w:tblGrid>
        </w:tblGridChange>
      </w:tblGrid>
      <w:tr>
        <w:trPr>
          <w:cantSplit w:val="0"/>
          <w:tblHeader w:val="0"/>
        </w:trPr>
        <w:tc>
          <w:tcPr>
            <w:shd w:fill="f3f3f3" w:val="clear"/>
            <w:tcMar>
              <w:top w:w="100.0" w:type="dxa"/>
              <w:left w:w="100.0" w:type="dxa"/>
              <w:bottom w:w="100.0" w:type="dxa"/>
              <w:right w:w="100.0" w:type="dxa"/>
            </w:tcMar>
            <w:vAlign w:val="top"/>
          </w:tcPr>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Which API endpoints are required?</w:t>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1"/>
                <w:iCs w:val="1"/>
                <w:sz w:val="20"/>
                <w:szCs w:val="20"/>
              </w:rPr>
            </w:pPr>
            <w:r w:rsidDel="00000000" w:rsidR="00000000" w:rsidRPr="00000000">
              <w:rPr>
                <w:i w:val="1"/>
                <w:iCs w:val="1"/>
                <w:sz w:val="20"/>
                <w:szCs w:val="20"/>
                <w:rtl w:val="0"/>
              </w:rPr>
              <w:t xml:space="preserve">List all endpoints</w:t>
            </w:r>
          </w:p>
        </w:tc>
        <w:tc>
          <w:tcPr>
            <w:shd w:fill="auto" w:val="clear"/>
            <w:tcMar>
              <w:top w:w="100.0" w:type="dxa"/>
              <w:left w:w="100.0" w:type="dxa"/>
              <w:bottom w:w="100.0" w:type="dxa"/>
              <w:right w:w="100.0" w:type="dxa"/>
            </w:tcMar>
            <w:vAlign w:val="top"/>
          </w:tcPr>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f3f3f3" w:val="clear"/>
            <w:tcMar>
              <w:top w:w="100.0" w:type="dxa"/>
              <w:left w:w="100.0" w:type="dxa"/>
              <w:bottom w:w="100.0" w:type="dxa"/>
              <w:right w:w="100.0" w:type="dxa"/>
            </w:tcMar>
            <w:vAlign w:val="top"/>
          </w:tcPr>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Application or user restricted?</w:t>
            </w:r>
          </w:p>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1"/>
                <w:iCs w:val="1"/>
                <w:sz w:val="20"/>
                <w:szCs w:val="20"/>
              </w:rPr>
            </w:pPr>
            <w:r w:rsidDel="00000000" w:rsidR="00000000" w:rsidRPr="00000000">
              <w:rPr>
                <w:i w:val="1"/>
                <w:iCs w:val="1"/>
                <w:sz w:val="20"/>
                <w:szCs w:val="20"/>
                <w:rtl w:val="0"/>
              </w:rPr>
              <w:t xml:space="preserve">Provide justification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bl>
    <w:p w:rsidR="00000000" w:rsidDel="00000000" w:rsidP="00000000" w:rsidRDefault="00000000" w:rsidRPr="00000000" w14:paraId="0000003E">
      <w:pPr>
        <w:rPr/>
      </w:pPr>
      <w:r w:rsidDel="00000000" w:rsidR="00000000" w:rsidRPr="00000000">
        <w:rPr>
          <w:rtl w:val="0"/>
        </w:rPr>
      </w:r>
    </w:p>
    <w:p w:rsidR="00000000" w:rsidDel="00000000" w:rsidP="00000000" w:rsidRDefault="00000000" w:rsidRPr="00000000" w14:paraId="0000003F">
      <w:pPr>
        <w:pStyle w:val="Heading2"/>
        <w:rPr/>
      </w:pPr>
      <w:bookmarkStart w:colFirst="0" w:colLast="0" w:name="_2ke8c0ndvds9" w:id="5"/>
      <w:bookmarkEnd w:id="5"/>
      <w:r w:rsidDel="00000000" w:rsidR="00000000" w:rsidRPr="00000000">
        <w:rPr>
          <w:rtl w:val="0"/>
        </w:rPr>
        <w:t xml:space="preserve">Section 4: Data Protection &amp; Information Governance</w:t>
      </w:r>
    </w:p>
    <w:p w:rsidR="00000000" w:rsidDel="00000000" w:rsidP="00000000" w:rsidRDefault="00000000" w:rsidRPr="00000000" w14:paraId="00000040">
      <w:pPr>
        <w:rPr/>
      </w:pPr>
      <w:r w:rsidDel="00000000" w:rsidR="00000000" w:rsidRPr="00000000">
        <w:rPr>
          <w:rtl w:val="0"/>
        </w:rPr>
        <w:t xml:space="preserve">All consumers must maintain the certifications and standards listed below. Evidence must be provided for each.</w:t>
      </w:r>
    </w:p>
    <w:p w:rsidR="00000000" w:rsidDel="00000000" w:rsidP="00000000" w:rsidRDefault="00000000" w:rsidRPr="00000000" w14:paraId="00000041">
      <w:pPr>
        <w:rPr/>
      </w:pPr>
      <w:r w:rsidDel="00000000" w:rsidR="00000000" w:rsidRPr="00000000">
        <w:rPr>
          <w:rtl w:val="0"/>
        </w:rPr>
      </w:r>
    </w:p>
    <w:tbl>
      <w:tblPr>
        <w:tblStyle w:val="Table5"/>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514.5"/>
        <w:gridCol w:w="4514.5"/>
        <w:tblGridChange w:id="0">
          <w:tblGrid>
            <w:gridCol w:w="4514.5"/>
            <w:gridCol w:w="4514.5"/>
          </w:tblGrid>
        </w:tblGridChange>
      </w:tblGrid>
      <w:tr>
        <w:trPr>
          <w:cantSplit w:val="0"/>
          <w:tblHeader w:val="0"/>
        </w:trPr>
        <w:tc>
          <w:tcPr>
            <w:shd w:fill="f3f3f3" w:val="clear"/>
            <w:tcMar>
              <w:top w:w="100.0" w:type="dxa"/>
              <w:left w:w="100.0" w:type="dxa"/>
              <w:bottom w:w="100.0" w:type="dxa"/>
              <w:right w:w="100.0" w:type="dxa"/>
            </w:tcMar>
            <w:vAlign w:val="top"/>
          </w:tcPr>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ISO 27001 certification — certifying body name, certificate number, and expiry date</w:t>
            </w:r>
          </w:p>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1"/>
                <w:iCs w:val="1"/>
                <w:sz w:val="20"/>
                <w:szCs w:val="20"/>
              </w:rPr>
            </w:pPr>
            <w:r w:rsidDel="00000000" w:rsidR="00000000" w:rsidRPr="00000000">
              <w:rPr>
                <w:i w:val="1"/>
                <w:iCs w:val="1"/>
                <w:sz w:val="20"/>
                <w:szCs w:val="20"/>
                <w:rtl w:val="0"/>
              </w:rPr>
              <w:t xml:space="preserve">Must be issued by a UKAS-approved accreditation body. Statement of Applicability (SoA) must cover all relevant processing activities. Attach certificate.</w:t>
            </w:r>
          </w:p>
        </w:tc>
        <w:tc>
          <w:tcPr>
            <w:shd w:fill="auto" w:val="clear"/>
            <w:tcMar>
              <w:top w:w="100.0" w:type="dxa"/>
              <w:left w:w="100.0" w:type="dxa"/>
              <w:bottom w:w="100.0" w:type="dxa"/>
              <w:right w:w="100.0" w:type="dxa"/>
            </w:tcMar>
            <w:vAlign w:val="top"/>
          </w:tcPr>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f3f3f3" w:val="clear"/>
            <w:tcMar>
              <w:top w:w="100.0" w:type="dxa"/>
              <w:left w:w="100.0" w:type="dxa"/>
              <w:bottom w:w="100.0" w:type="dxa"/>
              <w:right w:w="100.0" w:type="dxa"/>
            </w:tcMar>
            <w:vAlign w:val="top"/>
          </w:tcPr>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Cyber Essentials Plus certification — certifying body, certificate number, and expiry date</w:t>
            </w:r>
          </w:p>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1"/>
                <w:iCs w:val="1"/>
                <w:sz w:val="20"/>
                <w:szCs w:val="20"/>
              </w:rPr>
            </w:pPr>
            <w:r w:rsidDel="00000000" w:rsidR="00000000" w:rsidRPr="00000000">
              <w:rPr>
                <w:i w:val="1"/>
                <w:iCs w:val="1"/>
                <w:sz w:val="20"/>
                <w:szCs w:val="20"/>
                <w:rtl w:val="0"/>
              </w:rPr>
              <w:t xml:space="preserve">Scope must cover all processing activities related to this extract. Attach certificate.</w:t>
            </w:r>
          </w:p>
        </w:tc>
        <w:tc>
          <w:tcPr>
            <w:shd w:fill="auto" w:val="clear"/>
            <w:tcMar>
              <w:top w:w="100.0" w:type="dxa"/>
              <w:left w:w="100.0" w:type="dxa"/>
              <w:bottom w:w="100.0" w:type="dxa"/>
              <w:right w:w="100.0" w:type="dxa"/>
            </w:tcMar>
            <w:vAlign w:val="top"/>
          </w:tcPr>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f3f3f3" w:val="clear"/>
            <w:tcMar>
              <w:top w:w="100.0" w:type="dxa"/>
              <w:left w:w="100.0" w:type="dxa"/>
              <w:bottom w:w="100.0" w:type="dxa"/>
              <w:right w:w="100.0" w:type="dxa"/>
            </w:tcMar>
            <w:vAlign w:val="top"/>
          </w:tcPr>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DSP Toolkit — organisation code, assessment year, and attainment level</w:t>
            </w:r>
          </w:p>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1"/>
                <w:iCs w:val="1"/>
                <w:sz w:val="20"/>
                <w:szCs w:val="20"/>
              </w:rPr>
            </w:pPr>
            <w:r w:rsidDel="00000000" w:rsidR="00000000" w:rsidRPr="00000000">
              <w:rPr>
                <w:i w:val="1"/>
                <w:iCs w:val="1"/>
                <w:sz w:val="20"/>
                <w:szCs w:val="20"/>
                <w:rtl w:val="0"/>
              </w:rPr>
              <w:t xml:space="preserve">Must be at 'Standards Exceeded' level. Provide a link to or screenshot of the published submission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f3f3f3" w:val="clear"/>
            <w:tcMar>
              <w:top w:w="100.0" w:type="dxa"/>
              <w:left w:w="100.0" w:type="dxa"/>
              <w:bottom w:w="100.0" w:type="dxa"/>
              <w:right w:w="100.0" w:type="dxa"/>
            </w:tcMar>
            <w:vAlign w:val="top"/>
          </w:tcPr>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Provide a copy of or link to your current Data Protection Impact Assessment (DPIA)</w:t>
            </w:r>
          </w:p>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1"/>
                <w:iCs w:val="1"/>
                <w:sz w:val="20"/>
                <w:szCs w:val="20"/>
              </w:rPr>
            </w:pPr>
            <w:r w:rsidDel="00000000" w:rsidR="00000000" w:rsidRPr="00000000">
              <w:rPr>
                <w:i w:val="1"/>
                <w:iCs w:val="1"/>
                <w:sz w:val="20"/>
                <w:szCs w:val="20"/>
                <w:rtl w:val="0"/>
              </w:rPr>
              <w:t xml:space="preserve">The DPIA must describe data flows end-to-end, including sub-processors and access controls.</w:t>
            </w:r>
          </w:p>
        </w:tc>
        <w:tc>
          <w:tcPr>
            <w:shd w:fill="auto" w:val="clear"/>
            <w:tcMar>
              <w:top w:w="100.0" w:type="dxa"/>
              <w:left w:w="100.0" w:type="dxa"/>
              <w:bottom w:w="100.0" w:type="dxa"/>
              <w:right w:w="100.0" w:type="dxa"/>
            </w:tcMar>
            <w:vAlign w:val="top"/>
          </w:tcPr>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f3f3f3" w:val="clear"/>
            <w:tcMar>
              <w:top w:w="100.0" w:type="dxa"/>
              <w:left w:w="100.0" w:type="dxa"/>
              <w:bottom w:w="100.0" w:type="dxa"/>
              <w:right w:w="100.0" w:type="dxa"/>
            </w:tcMar>
            <w:vAlign w:val="top"/>
          </w:tcPr>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Detail the authentication controls in place for access to data obtained from Medicus</w:t>
            </w:r>
          </w:p>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1"/>
                <w:iCs w:val="1"/>
                <w:sz w:val="20"/>
                <w:szCs w:val="20"/>
              </w:rPr>
            </w:pPr>
            <w:r w:rsidDel="00000000" w:rsidR="00000000" w:rsidRPr="00000000">
              <w:rPr>
                <w:i w:val="1"/>
                <w:iCs w:val="1"/>
                <w:sz w:val="20"/>
                <w:szCs w:val="20"/>
                <w:rtl w:val="0"/>
              </w:rPr>
              <w:t xml:space="preserve">Must meet or exceed NIST AAL2. Describe the mechanism (e.g. MFA type, identity provider).</w:t>
            </w:r>
          </w:p>
        </w:tc>
        <w:tc>
          <w:tcPr>
            <w:shd w:fill="auto" w:val="clear"/>
            <w:tcMar>
              <w:top w:w="100.0" w:type="dxa"/>
              <w:left w:w="100.0" w:type="dxa"/>
              <w:bottom w:w="100.0" w:type="dxa"/>
              <w:right w:w="100.0" w:type="dxa"/>
            </w:tcMar>
            <w:vAlign w:val="top"/>
          </w:tcPr>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f3f3f3" w:val="clear"/>
            <w:tcMar>
              <w:top w:w="100.0" w:type="dxa"/>
              <w:left w:w="100.0" w:type="dxa"/>
              <w:bottom w:w="100.0" w:type="dxa"/>
              <w:right w:w="100.0" w:type="dxa"/>
            </w:tcMar>
            <w:vAlign w:val="top"/>
          </w:tcPr>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Describe your procedures for protecting sensitive data from illegal breach</w:t>
            </w:r>
          </w:p>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1"/>
                <w:iCs w:val="1"/>
                <w:sz w:val="20"/>
                <w:szCs w:val="20"/>
              </w:rPr>
            </w:pPr>
            <w:r w:rsidDel="00000000" w:rsidR="00000000" w:rsidRPr="00000000">
              <w:rPr>
                <w:i w:val="1"/>
                <w:iCs w:val="1"/>
                <w:sz w:val="20"/>
                <w:szCs w:val="20"/>
                <w:rtl w:val="0"/>
              </w:rPr>
              <w:t xml:space="preserve">Include detection, containment, notification, and remediation processes.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bl>
    <w:p w:rsidR="00000000" w:rsidDel="00000000" w:rsidP="00000000" w:rsidRDefault="00000000" w:rsidRPr="00000000" w14:paraId="0000005A">
      <w:pPr>
        <w:rPr/>
      </w:pPr>
      <w:r w:rsidDel="00000000" w:rsidR="00000000" w:rsidRPr="00000000">
        <w:rPr>
          <w:rtl w:val="0"/>
        </w:rPr>
      </w:r>
    </w:p>
    <w:p w:rsidR="00000000" w:rsidDel="00000000" w:rsidP="00000000" w:rsidRDefault="00000000" w:rsidRPr="00000000" w14:paraId="0000005B">
      <w:pPr>
        <w:pStyle w:val="Heading2"/>
        <w:rPr/>
      </w:pPr>
      <w:bookmarkStart w:colFirst="0" w:colLast="0" w:name="_yotyxyhw9ofk" w:id="6"/>
      <w:bookmarkEnd w:id="6"/>
      <w:r w:rsidDel="00000000" w:rsidR="00000000" w:rsidRPr="00000000">
        <w:rPr>
          <w:rtl w:val="0"/>
        </w:rPr>
        <w:t xml:space="preserve">Section 5: Data Residency &amp; Sub-processing</w:t>
      </w:r>
    </w:p>
    <w:p w:rsidR="00000000" w:rsidDel="00000000" w:rsidP="00000000" w:rsidRDefault="00000000" w:rsidRPr="00000000" w14:paraId="0000005C">
      <w:pPr>
        <w:rPr/>
      </w:pPr>
      <w:r w:rsidDel="00000000" w:rsidR="00000000" w:rsidRPr="00000000">
        <w:rPr>
          <w:rtl w:val="0"/>
        </w:rPr>
        <w:t xml:space="preserve">All processing and sub-processing must remain within the United Kingdom unless an explicit exception has been agreed with the Data Controllers. Medicus Health shares no liability for any breach of this obligation.</w:t>
      </w:r>
    </w:p>
    <w:p w:rsidR="00000000" w:rsidDel="00000000" w:rsidP="00000000" w:rsidRDefault="00000000" w:rsidRPr="00000000" w14:paraId="0000005D">
      <w:pPr>
        <w:rPr/>
      </w:pPr>
      <w:r w:rsidDel="00000000" w:rsidR="00000000" w:rsidRPr="00000000">
        <w:rPr>
          <w:rtl w:val="0"/>
        </w:rPr>
      </w:r>
    </w:p>
    <w:tbl>
      <w:tblPr>
        <w:tblStyle w:val="Table6"/>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514.5"/>
        <w:gridCol w:w="4514.5"/>
        <w:tblGridChange w:id="0">
          <w:tblGrid>
            <w:gridCol w:w="4514.5"/>
            <w:gridCol w:w="4514.5"/>
          </w:tblGrid>
        </w:tblGridChange>
      </w:tblGrid>
      <w:tr>
        <w:trPr>
          <w:cantSplit w:val="0"/>
          <w:tblHeader w:val="0"/>
        </w:trPr>
        <w:tc>
          <w:tcPr>
            <w:shd w:fill="f3f3f3" w:val="clear"/>
            <w:tcMar>
              <w:top w:w="100.0" w:type="dxa"/>
              <w:left w:w="100.0" w:type="dxa"/>
              <w:bottom w:w="100.0" w:type="dxa"/>
              <w:right w:w="100.0" w:type="dxa"/>
            </w:tcMar>
            <w:vAlign w:val="top"/>
          </w:tcPr>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Provide a statement confirming that all data will remain within the United Kingdom throughout the end-to-end data flow</w:t>
            </w:r>
          </w:p>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1"/>
                <w:iCs w:val="1"/>
                <w:sz w:val="20"/>
                <w:szCs w:val="20"/>
              </w:rPr>
            </w:pPr>
            <w:r w:rsidDel="00000000" w:rsidR="00000000" w:rsidRPr="00000000">
              <w:rPr>
                <w:i w:val="1"/>
                <w:iCs w:val="1"/>
                <w:sz w:val="20"/>
                <w:szCs w:val="20"/>
                <w:rtl w:val="0"/>
              </w:rPr>
              <w:t xml:space="preserve">Include technical details: storage location, processing infrastructure, and cloud provider regions.</w:t>
            </w:r>
          </w:p>
        </w:tc>
        <w:tc>
          <w:tcPr>
            <w:shd w:fill="auto" w:val="clear"/>
            <w:tcMar>
              <w:top w:w="100.0" w:type="dxa"/>
              <w:left w:w="100.0" w:type="dxa"/>
              <w:bottom w:w="100.0" w:type="dxa"/>
              <w:right w:w="100.0" w:type="dxa"/>
            </w:tcMar>
            <w:vAlign w:val="top"/>
          </w:tcPr>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f3f3f3" w:val="clear"/>
            <w:tcMar>
              <w:top w:w="100.0" w:type="dxa"/>
              <w:left w:w="100.0" w:type="dxa"/>
              <w:bottom w:w="100.0" w:type="dxa"/>
              <w:right w:w="100.0" w:type="dxa"/>
            </w:tcMar>
            <w:vAlign w:val="top"/>
          </w:tcPr>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List all sub-processors that will have access to data retrieved from Medicus</w:t>
            </w:r>
          </w:p>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1"/>
                <w:iCs w:val="1"/>
                <w:sz w:val="20"/>
                <w:szCs w:val="20"/>
              </w:rPr>
            </w:pPr>
            <w:r w:rsidDel="00000000" w:rsidR="00000000" w:rsidRPr="00000000">
              <w:rPr>
                <w:i w:val="1"/>
                <w:iCs w:val="1"/>
                <w:sz w:val="20"/>
                <w:szCs w:val="20"/>
                <w:rtl w:val="0"/>
              </w:rPr>
              <w:t xml:space="preserve">Include name, role, country of processing, and contractual basis.</w:t>
            </w:r>
          </w:p>
        </w:tc>
        <w:tc>
          <w:tcPr>
            <w:shd w:fill="auto" w:val="clear"/>
            <w:tcMar>
              <w:top w:w="100.0" w:type="dxa"/>
              <w:left w:w="100.0" w:type="dxa"/>
              <w:bottom w:w="100.0" w:type="dxa"/>
              <w:right w:w="100.0" w:type="dxa"/>
            </w:tcMar>
            <w:vAlign w:val="top"/>
          </w:tcPr>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f3f3f3" w:val="clear"/>
            <w:tcMar>
              <w:top w:w="100.0" w:type="dxa"/>
              <w:left w:w="100.0" w:type="dxa"/>
              <w:bottom w:w="100.0" w:type="dxa"/>
              <w:right w:w="100.0" w:type="dxa"/>
            </w:tcMar>
            <w:vAlign w:val="top"/>
          </w:tcPr>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Confirm there will be no secondary transfers of data without explicit Data Controller approval</w:t>
            </w:r>
          </w:p>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1"/>
                <w:iCs w:val="1"/>
                <w:sz w:val="20"/>
                <w:szCs w:val="20"/>
              </w:rPr>
            </w:pPr>
            <w:r w:rsidDel="00000000" w:rsidR="00000000" w:rsidRPr="00000000">
              <w:rPr>
                <w:i w:val="1"/>
                <w:iCs w:val="1"/>
                <w:sz w:val="20"/>
                <w:szCs w:val="20"/>
                <w:rtl w:val="0"/>
              </w:rPr>
              <w:t xml:space="preserve">Secondary transfer means any transfer of data to a party not identified in the DPIA or this DDQ.</w:t>
            </w:r>
          </w:p>
        </w:tc>
        <w:tc>
          <w:tcPr>
            <w:shd w:fill="auto" w:val="clear"/>
            <w:tcMar>
              <w:top w:w="100.0" w:type="dxa"/>
              <w:left w:w="100.0" w:type="dxa"/>
              <w:bottom w:w="100.0" w:type="dxa"/>
              <w:right w:w="100.0" w:type="dxa"/>
            </w:tcMar>
            <w:vAlign w:val="top"/>
          </w:tcPr>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bl>
    <w:p w:rsidR="00000000" w:rsidDel="00000000" w:rsidP="00000000" w:rsidRDefault="00000000" w:rsidRPr="00000000" w14:paraId="0000006A">
      <w:pPr>
        <w:rPr/>
      </w:pPr>
      <w:r w:rsidDel="00000000" w:rsidR="00000000" w:rsidRPr="00000000">
        <w:rPr>
          <w:rtl w:val="0"/>
        </w:rPr>
      </w:r>
    </w:p>
    <w:p w:rsidR="00000000" w:rsidDel="00000000" w:rsidP="00000000" w:rsidRDefault="00000000" w:rsidRPr="00000000" w14:paraId="0000006B">
      <w:pPr>
        <w:pStyle w:val="Heading2"/>
        <w:rPr/>
      </w:pPr>
      <w:bookmarkStart w:colFirst="0" w:colLast="0" w:name="_i46y1jum5459" w:id="7"/>
      <w:bookmarkEnd w:id="7"/>
      <w:r w:rsidDel="00000000" w:rsidR="00000000" w:rsidRPr="00000000">
        <w:rPr>
          <w:rtl w:val="0"/>
        </w:rPr>
        <w:t xml:space="preserve">Section 6 — Supporting Documents</w:t>
      </w:r>
    </w:p>
    <w:p w:rsidR="00000000" w:rsidDel="00000000" w:rsidP="00000000" w:rsidRDefault="00000000" w:rsidRPr="00000000" w14:paraId="0000006C">
      <w:pPr>
        <w:rPr/>
      </w:pPr>
      <w:r w:rsidDel="00000000" w:rsidR="00000000" w:rsidRPr="00000000">
        <w:rPr>
          <w:rtl w:val="0"/>
        </w:rPr>
        <w:t xml:space="preserve">The following documents must be submitted alongside this DDQ. Tick each box to confirm the document is attached.</w:t>
      </w:r>
    </w:p>
    <w:p w:rsidR="00000000" w:rsidDel="00000000" w:rsidP="00000000" w:rsidRDefault="00000000" w:rsidRPr="00000000" w14:paraId="0000006D">
      <w:pPr>
        <w:rPr/>
      </w:pPr>
      <w:r w:rsidDel="00000000" w:rsidR="00000000" w:rsidRPr="00000000">
        <w:rPr>
          <w:rtl w:val="0"/>
        </w:rPr>
      </w:r>
    </w:p>
    <w:tbl>
      <w:tblPr>
        <w:tblStyle w:val="Table7"/>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514.5"/>
        <w:gridCol w:w="4514.5"/>
        <w:tblGridChange w:id="0">
          <w:tblGrid>
            <w:gridCol w:w="4514.5"/>
            <w:gridCol w:w="4514.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rPr>
            </w:pPr>
            <w:r w:rsidDel="00000000" w:rsidR="00000000" w:rsidRPr="00000000">
              <w:rPr>
                <w:b w:val="1"/>
                <w:bCs w:val="1"/>
                <w:rtl w:val="0"/>
              </w:rPr>
              <w:t xml:space="preserve">Required Document</w:t>
            </w:r>
          </w:p>
        </w:tc>
        <w:tc>
          <w:tcPr>
            <w:shd w:fill="auto" w:val="clear"/>
            <w:tcMar>
              <w:top w:w="100.0" w:type="dxa"/>
              <w:left w:w="100.0" w:type="dxa"/>
              <w:bottom w:w="100.0" w:type="dxa"/>
              <w:right w:w="100.0" w:type="dxa"/>
            </w:tcMar>
            <w:vAlign w:val="top"/>
          </w:tcPr>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rPr>
            </w:pPr>
            <w:r w:rsidDel="00000000" w:rsidR="00000000" w:rsidRPr="00000000">
              <w:rPr>
                <w:b w:val="1"/>
                <w:bCs w:val="1"/>
                <w:rtl w:val="0"/>
              </w:rPr>
              <w:t xml:space="preserve">Reference / Notes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Completed DDQ (this document)</w:t>
            </w:r>
          </w:p>
        </w:tc>
        <w:tc>
          <w:tcPr>
            <w:shd w:fill="auto" w:val="clear"/>
            <w:tcMar>
              <w:top w:w="100.0" w:type="dxa"/>
              <w:left w:w="100.0" w:type="dxa"/>
              <w:bottom w:w="100.0" w:type="dxa"/>
              <w:right w:w="100.0" w:type="dxa"/>
            </w:tcMar>
            <w:vAlign w:val="top"/>
          </w:tcPr>
          <w:p w:rsidR="00000000" w:rsidDel="00000000" w:rsidP="00000000" w:rsidRDefault="00000000" w:rsidRPr="00000000" w14:paraId="000000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Data Protection Impact Assessment (DPIA)</w:t>
            </w:r>
          </w:p>
        </w:tc>
        <w:tc>
          <w:tcPr>
            <w:shd w:fill="auto" w:val="clear"/>
            <w:tcMar>
              <w:top w:w="100.0" w:type="dxa"/>
              <w:left w:w="100.0" w:type="dxa"/>
              <w:bottom w:w="100.0" w:type="dxa"/>
              <w:right w:w="100.0" w:type="dxa"/>
            </w:tcMar>
            <w:vAlign w:val="top"/>
          </w:tcPr>
          <w:p w:rsidR="00000000" w:rsidDel="00000000" w:rsidP="00000000" w:rsidRDefault="00000000" w:rsidRPr="00000000" w14:paraId="000000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Must cover end-to-end data flows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ISO 27001 Certificate</w:t>
            </w:r>
          </w:p>
        </w:tc>
        <w:tc>
          <w:tcPr>
            <w:shd w:fill="auto" w:val="clear"/>
            <w:tcMar>
              <w:top w:w="100.0" w:type="dxa"/>
              <w:left w:w="100.0" w:type="dxa"/>
              <w:bottom w:w="100.0" w:type="dxa"/>
              <w:right w:w="100.0" w:type="dxa"/>
            </w:tcMar>
            <w:vAlign w:val="top"/>
          </w:tcPr>
          <w:p w:rsidR="00000000" w:rsidDel="00000000" w:rsidP="00000000" w:rsidRDefault="00000000" w:rsidRPr="00000000" w14:paraId="000000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UKAS-accredited body; valid SoA</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Cyber Essentials Plus Certificate</w:t>
            </w:r>
          </w:p>
        </w:tc>
        <w:tc>
          <w:tcPr>
            <w:shd w:fill="auto" w:val="clear"/>
            <w:tcMar>
              <w:top w:w="100.0" w:type="dxa"/>
              <w:left w:w="100.0" w:type="dxa"/>
              <w:bottom w:w="100.0" w:type="dxa"/>
              <w:right w:w="100.0" w:type="dxa"/>
            </w:tcMar>
            <w:vAlign w:val="top"/>
          </w:tcPr>
          <w:p w:rsidR="00000000" w:rsidDel="00000000" w:rsidP="00000000" w:rsidRDefault="00000000" w:rsidRPr="00000000" w14:paraId="000000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Scope covering all processing activities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DSP Toolkit submission evidence</w:t>
            </w:r>
          </w:p>
        </w:tc>
        <w:tc>
          <w:tcPr>
            <w:shd w:fill="auto" w:val="clear"/>
            <w:tcMar>
              <w:top w:w="100.0" w:type="dxa"/>
              <w:left w:w="100.0" w:type="dxa"/>
              <w:bottom w:w="100.0" w:type="dxa"/>
              <w:right w:w="100.0" w:type="dxa"/>
            </w:tcMar>
            <w:vAlign w:val="top"/>
          </w:tcPr>
          <w:p w:rsidR="00000000" w:rsidDel="00000000" w:rsidP="00000000" w:rsidRDefault="00000000" w:rsidRPr="00000000" w14:paraId="000000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Standards Exceeded level</w:t>
            </w:r>
          </w:p>
        </w:tc>
      </w:tr>
    </w:tbl>
    <w:p w:rsidR="00000000" w:rsidDel="00000000" w:rsidP="00000000" w:rsidRDefault="00000000" w:rsidRPr="00000000" w14:paraId="0000007A">
      <w:pPr>
        <w:rPr/>
      </w:pPr>
      <w:r w:rsidDel="00000000" w:rsidR="00000000" w:rsidRPr="00000000">
        <w:rPr>
          <w:rtl w:val="0"/>
        </w:rPr>
      </w:r>
    </w:p>
    <w:p w:rsidR="00000000" w:rsidDel="00000000" w:rsidP="00000000" w:rsidRDefault="00000000" w:rsidRPr="00000000" w14:paraId="0000007B">
      <w:pPr>
        <w:pStyle w:val="Heading2"/>
        <w:rPr/>
      </w:pPr>
      <w:bookmarkStart w:colFirst="0" w:colLast="0" w:name="_9vcofwvizotc" w:id="8"/>
      <w:bookmarkEnd w:id="8"/>
      <w:r w:rsidDel="00000000" w:rsidR="00000000" w:rsidRPr="00000000">
        <w:rPr>
          <w:rtl w:val="0"/>
        </w:rPr>
        <w:t xml:space="preserve">Section 7 - App Enablement Information</w:t>
      </w:r>
    </w:p>
    <w:p w:rsidR="00000000" w:rsidDel="00000000" w:rsidP="00000000" w:rsidRDefault="00000000" w:rsidRPr="00000000" w14:paraId="0000007C">
      <w:pPr>
        <w:rPr/>
      </w:pPr>
      <w:r w:rsidDel="00000000" w:rsidR="00000000" w:rsidRPr="00000000">
        <w:rPr>
          <w:rtl w:val="0"/>
        </w:rPr>
        <w:t xml:space="preserve">When enabling your app, healthcare providers are shown information on screen about what the enabling the app will do and any considerations they should have made as part of enabling the app.</w:t>
      </w:r>
    </w:p>
    <w:p w:rsidR="00000000" w:rsidDel="00000000" w:rsidP="00000000" w:rsidRDefault="00000000" w:rsidRPr="00000000" w14:paraId="0000007D">
      <w:pPr>
        <w:rPr/>
      </w:pPr>
      <w:r w:rsidDel="00000000" w:rsidR="00000000" w:rsidRPr="00000000">
        <w:rPr>
          <w:rtl w:val="0"/>
        </w:rPr>
      </w:r>
    </w:p>
    <w:p w:rsidR="00000000" w:rsidDel="00000000" w:rsidP="00000000" w:rsidRDefault="00000000" w:rsidRPr="00000000" w14:paraId="0000007E">
      <w:pPr>
        <w:rPr/>
      </w:pPr>
      <w:r w:rsidDel="00000000" w:rsidR="00000000" w:rsidRPr="00000000">
        <w:rPr/>
        <w:drawing>
          <wp:inline distB="114300" distT="114300" distL="114300" distR="114300">
            <wp:extent cx="5731200" cy="2298700"/>
            <wp:effectExtent b="0" l="0" r="0" t="0"/>
            <wp:docPr id="2" name="image2.png"/>
            <a:graphic>
              <a:graphicData uri="http://schemas.openxmlformats.org/drawingml/2006/picture">
                <pic:pic>
                  <pic:nvPicPr>
                    <pic:cNvPr id="0" name="image2.png"/>
                    <pic:cNvPicPr preferRelativeResize="0"/>
                  </pic:nvPicPr>
                  <pic:blipFill>
                    <a:blip r:embed="rId6"/>
                    <a:srcRect b="0" l="0" r="0" t="0"/>
                    <a:stretch>
                      <a:fillRect/>
                    </a:stretch>
                  </pic:blipFill>
                  <pic:spPr>
                    <a:xfrm>
                      <a:off x="0" y="0"/>
                      <a:ext cx="5731200" cy="2298700"/>
                    </a:xfrm>
                    <a:prstGeom prst="rect"/>
                    <a:ln/>
                  </pic:spPr>
                </pic:pic>
              </a:graphicData>
            </a:graphic>
          </wp:inline>
        </w:drawing>
      </w:r>
      <w:r w:rsidDel="00000000" w:rsidR="00000000" w:rsidRPr="00000000">
        <w:rPr>
          <w:rtl w:val="0"/>
        </w:rPr>
      </w:r>
    </w:p>
    <w:p w:rsidR="00000000" w:rsidDel="00000000" w:rsidP="00000000" w:rsidRDefault="00000000" w:rsidRPr="00000000" w14:paraId="0000007F">
      <w:pPr>
        <w:rPr/>
      </w:pPr>
      <w:r w:rsidDel="00000000" w:rsidR="00000000" w:rsidRPr="00000000">
        <w:rPr>
          <w:rtl w:val="0"/>
        </w:rPr>
      </w:r>
    </w:p>
    <w:p w:rsidR="00000000" w:rsidDel="00000000" w:rsidP="00000000" w:rsidRDefault="00000000" w:rsidRPr="00000000" w14:paraId="00000080">
      <w:pPr>
        <w:rPr/>
      </w:pPr>
      <w:r w:rsidDel="00000000" w:rsidR="00000000" w:rsidRPr="00000000">
        <w:rPr>
          <w:rtl w:val="0"/>
        </w:rPr>
        <w:t xml:space="preserve">Please provide the copy that you would like us to include below:</w:t>
      </w:r>
    </w:p>
    <w:tbl>
      <w:tblPr>
        <w:tblStyle w:val="Table8"/>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1">
            <w:pPr>
              <w:widowControl w:val="0"/>
              <w:spacing w:line="240" w:lineRule="auto"/>
              <w:rPr/>
            </w:pPr>
            <w:r w:rsidDel="00000000" w:rsidR="00000000" w:rsidRPr="00000000">
              <w:rPr>
                <w:rtl w:val="0"/>
              </w:rPr>
            </w:r>
          </w:p>
        </w:tc>
      </w:tr>
    </w:tbl>
    <w:p w:rsidR="00000000" w:rsidDel="00000000" w:rsidP="00000000" w:rsidRDefault="00000000" w:rsidRPr="00000000" w14:paraId="00000082">
      <w:pPr>
        <w:rPr/>
      </w:pPr>
      <w:r w:rsidDel="00000000" w:rsidR="00000000" w:rsidRPr="00000000">
        <w:rPr>
          <w:rtl w:val="0"/>
        </w:rPr>
      </w:r>
    </w:p>
    <w:sectPr>
      <w:headerReference r:id="rId7" w:type="default"/>
      <w:headerReference r:id="rId8" w:type="first"/>
      <w:footerReference r:id="rId9" w:type="default"/>
      <w:footerReference r:id="rId10" w:type="firs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4">
    <w:pPr>
      <w:pageBreakBefore w:val="0"/>
      <w:jc w:val="right"/>
      <w:rPr>
        <w:color w:val="999999"/>
        <w:sz w:val="16"/>
        <w:szCs w:val="16"/>
      </w:rPr>
    </w:pPr>
    <w:r w:rsidDel="00000000" w:rsidR="00000000" w:rsidRPr="00000000">
      <w:rPr>
        <w:color w:val="999999"/>
        <w:sz w:val="16"/>
        <w:szCs w:val="16"/>
        <w:rtl w:val="0"/>
      </w:rPr>
      <w:t xml:space="preserve">Page </w:t>
    </w:r>
    <w:r w:rsidDel="00000000" w:rsidR="00000000" w:rsidRPr="00000000">
      <w:rPr>
        <w:color w:val="999999"/>
        <w:sz w:val="16"/>
        <w:szCs w:val="16"/>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6">
    <w:pPr>
      <w:pageBreakBefore w:val="0"/>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3">
    <w:pPr>
      <w:pageBreakBefore w:val="0"/>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-485774</wp:posOffset>
          </wp:positionH>
          <wp:positionV relativeFrom="paragraph">
            <wp:posOffset>-133349</wp:posOffset>
          </wp:positionV>
          <wp:extent cx="1190625" cy="295275"/>
          <wp:effectExtent b="0" l="0" r="0" t="0"/>
          <wp:wrapSquare wrapText="bothSides" distB="114300" distT="114300" distL="114300" distR="114300"/>
          <wp:docPr id="1" name="image1.png"/>
          <a:graphic>
            <a:graphicData uri="http://schemas.openxmlformats.org/drawingml/2006/picture">
              <pic:pic>
                <pic:nvPicPr>
                  <pic:cNvPr id="0" name="image1.png"/>
                  <pic:cNvPicPr preferRelativeResize="0"/>
                </pic:nvPicPr>
                <pic:blipFill>
                  <a:blip r:embed="rId1"/>
                  <a:srcRect b="-34783" l="0" r="0" t="0"/>
                  <a:stretch>
                    <a:fillRect/>
                  </a:stretch>
                </pic:blipFill>
                <pic:spPr>
                  <a:xfrm>
                    <a:off x="0" y="0"/>
                    <a:ext cx="1190625" cy="295275"/>
                  </a:xfrm>
                  <a:prstGeom prst="rect"/>
                  <a:ln/>
                </pic:spPr>
              </pic:pic>
            </a:graphicData>
          </a:graphic>
        </wp:anchor>
      </w:drawing>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5">
    <w:pPr>
      <w:pageBreakBefore w:val="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Roboto" w:cs="Roboto" w:eastAsia="Roboto" w:hAnsi="Roboto"/>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sz w:val="32"/>
      <w:szCs w:val="32"/>
    </w:rPr>
  </w:style>
  <w:style w:type="paragraph" w:styleId="Heading3">
    <w:name w:val="heading 3"/>
    <w:basedOn w:val="Normal"/>
    <w:next w:val="Normal"/>
    <w:pPr>
      <w:keepNext w:val="1"/>
      <w:keepLines w:val="1"/>
      <w:pageBreakBefore w:val="0"/>
      <w:spacing w:after="80" w:before="320" w:lineRule="auto"/>
    </w:pPr>
    <w:rPr>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lineRule="auto"/>
      <w:jc w:val="center"/>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 w:type="table" w:styleId="Table5">
    <w:basedOn w:val="TableNormal"/>
    <w:tblPr>
      <w:tblStyleRowBandSize w:val="1"/>
      <w:tblStyleColBandSize w:val="1"/>
    </w:tblPr>
  </w:style>
  <w:style w:type="table" w:styleId="Table6">
    <w:basedOn w:val="TableNormal"/>
    <w:tblPr>
      <w:tblStyleRowBandSize w:val="1"/>
      <w:tblStyleColBandSize w:val="1"/>
    </w:tblPr>
  </w:style>
  <w:style w:type="table" w:styleId="Table7">
    <w:basedOn w:val="TableNormal"/>
    <w:tblPr>
      <w:tblStyleRowBandSize w:val="1"/>
      <w:tblStyleColBandSize w:val="1"/>
    </w:tblPr>
  </w:style>
  <w:style w:type="table" w:styleId="Table8">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2.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image" Target="media/image2.png"/><Relationship Id="rId7" Type="http://schemas.openxmlformats.org/officeDocument/2006/relationships/header" Target="header1.xml"/><Relationship Id="rId8" Type="http://schemas.openxmlformats.org/officeDocument/2006/relationships/header" Target="header2.xm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